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0E735531" w:rsidR="00996E29" w:rsidRPr="00A72397" w:rsidRDefault="009A60E6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669FAB7" w:rsidR="00996E29" w:rsidRPr="001D09FE" w:rsidRDefault="00863E5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ECCC37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F528F2">
        <w:rPr>
          <w:rFonts w:ascii="Times New Roman" w:hAnsi="Times New Roman"/>
          <w:b/>
          <w:bCs/>
          <w:i/>
          <w:iCs/>
          <w:sz w:val="24"/>
          <w:szCs w:val="24"/>
        </w:rPr>
        <w:t>23</w:t>
      </w:r>
      <w:r w:rsidR="00863E54" w:rsidRPr="00863E54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57144" w:rsidRPr="00857144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857144" w:rsidRPr="00857144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1BF4A25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23</w:t>
      </w:r>
      <w:r w:rsidR="00863E54" w:rsidRPr="00863E54">
        <w:rPr>
          <w:rFonts w:ascii="Times New Roman" w:hAnsi="Times New Roman"/>
          <w:b/>
          <w:bCs/>
          <w:i/>
          <w:iCs/>
          <w:color w:val="000000"/>
        </w:rPr>
        <w:t>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85B6091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23</w:t>
      </w:r>
      <w:r w:rsidR="00863E54" w:rsidRPr="00863E54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9A60E6">
        <w:rPr>
          <w:b/>
          <w:i/>
          <w:sz w:val="22"/>
          <w:szCs w:val="22"/>
        </w:rPr>
        <w:t>15</w:t>
      </w:r>
      <w:r w:rsidR="00F7299B">
        <w:rPr>
          <w:b/>
          <w:i/>
          <w:sz w:val="22"/>
          <w:szCs w:val="22"/>
        </w:rPr>
        <w:t>.</w:t>
      </w:r>
      <w:r w:rsidR="009A60E6">
        <w:rPr>
          <w:b/>
          <w:i/>
          <w:sz w:val="22"/>
          <w:szCs w:val="22"/>
        </w:rPr>
        <w:t>09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73034467" w:rsidR="00610E7E" w:rsidRPr="00FC2AE6" w:rsidRDefault="00857144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2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A22C7A3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024552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37CC32ED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863E54">
        <w:rPr>
          <w:rFonts w:ascii="Times New Roman" w:eastAsiaTheme="minorEastAsia" w:hAnsi="Times New Roman"/>
          <w:szCs w:val="20"/>
        </w:rPr>
        <w:t xml:space="preserve"> - 6 </w:t>
      </w:r>
    </w:p>
    <w:p w14:paraId="2FCA7B46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05E809B8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szCs w:val="20"/>
        </w:rPr>
        <w:t>j = 1:</w:t>
      </w:r>
      <w:r w:rsidRPr="00863E54">
        <w:rPr>
          <w:rFonts w:ascii="Times New Roman" w:eastAsiaTheme="minorEastAsia" w:hAnsi="Times New Roman"/>
          <w:szCs w:val="20"/>
        </w:rPr>
        <w:t xml:space="preserve"> Ставка дополнительного дохода j = n*R*K(j); </w:t>
      </w:r>
    </w:p>
    <w:p w14:paraId="31C990CA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szCs w:val="20"/>
        </w:rPr>
        <w:t>j = 2:</w:t>
      </w:r>
      <w:r w:rsidRPr="00863E54">
        <w:rPr>
          <w:rFonts w:ascii="Times New Roman" w:eastAsiaTheme="minorEastAsia" w:hAnsi="Times New Roman"/>
          <w:szCs w:val="20"/>
        </w:rPr>
        <w:t xml:space="preserve"> Ставка дополнительного дохода j = n*R*K(j); </w:t>
      </w:r>
    </w:p>
    <w:p w14:paraId="1CC47106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szCs w:val="20"/>
        </w:rPr>
        <w:t>j = 3:</w:t>
      </w:r>
      <w:r w:rsidRPr="00863E54">
        <w:rPr>
          <w:rFonts w:ascii="Times New Roman" w:eastAsiaTheme="minorEastAsia" w:hAnsi="Times New Roman"/>
          <w:szCs w:val="20"/>
        </w:rPr>
        <w:t xml:space="preserve"> Ставка дополнительного дохода j = n*R*K(j); </w:t>
      </w:r>
    </w:p>
    <w:p w14:paraId="3730AC47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szCs w:val="20"/>
        </w:rPr>
        <w:t>j = 4:</w:t>
      </w:r>
      <w:r w:rsidRPr="00863E54">
        <w:rPr>
          <w:rFonts w:ascii="Times New Roman" w:eastAsiaTheme="minorEastAsia" w:hAnsi="Times New Roman"/>
          <w:szCs w:val="20"/>
        </w:rPr>
        <w:t xml:space="preserve"> Ставка дополнительного дохода j = n*R*K(j); </w:t>
      </w:r>
    </w:p>
    <w:p w14:paraId="614DE300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szCs w:val="20"/>
        </w:rPr>
        <w:t>j = 5:</w:t>
      </w:r>
      <w:r w:rsidRPr="00863E54">
        <w:rPr>
          <w:rFonts w:ascii="Times New Roman" w:eastAsiaTheme="minorEastAsia" w:hAnsi="Times New Roman"/>
          <w:szCs w:val="20"/>
        </w:rPr>
        <w:t xml:space="preserve"> Ставка дополнительного дохода j = n*R*K(j); </w:t>
      </w:r>
    </w:p>
    <w:p w14:paraId="040A7495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szCs w:val="20"/>
        </w:rPr>
        <w:t>j = 6:</w:t>
      </w:r>
      <w:r w:rsidRPr="00863E54">
        <w:rPr>
          <w:rFonts w:ascii="Times New Roman" w:eastAsiaTheme="minorEastAsia" w:hAnsi="Times New Roman"/>
          <w:szCs w:val="20"/>
        </w:rPr>
        <w:t xml:space="preserve"> Ставка дополнительного дохода j = n*R*K(j); </w:t>
      </w:r>
    </w:p>
    <w:p w14:paraId="20273C17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>Где</w:t>
      </w:r>
    </w:p>
    <w:p w14:paraId="1C390E88" w14:textId="6A44E5A1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R</w:t>
      </w:r>
      <w:r w:rsidRPr="00863E54">
        <w:rPr>
          <w:rFonts w:ascii="Times New Roman" w:eastAsiaTheme="minorEastAsia" w:hAnsi="Times New Roman"/>
          <w:szCs w:val="20"/>
        </w:rPr>
        <w:t xml:space="preserve"> – величина </w:t>
      </w:r>
      <w:r w:rsidRPr="00863E54">
        <w:rPr>
          <w:rFonts w:ascii="Times New Roman" w:eastAsiaTheme="minorEastAsia" w:hAnsi="Times New Roman"/>
          <w:b/>
          <w:bCs/>
          <w:i/>
          <w:szCs w:val="20"/>
        </w:rPr>
        <w:t>Параметра</w:t>
      </w:r>
      <w:r w:rsidRPr="00863E54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863E54">
        <w:rPr>
          <w:rFonts w:ascii="Times New Roman" w:eastAsiaTheme="minorEastAsia" w:hAnsi="Times New Roman"/>
          <w:b/>
          <w:bCs/>
          <w:i/>
          <w:szCs w:val="20"/>
        </w:rPr>
        <w:t>Параметра</w:t>
      </w:r>
      <w:r w:rsidRPr="00863E54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53EF3885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n</w:t>
      </w:r>
      <w:r w:rsidRPr="00863E54">
        <w:rPr>
          <w:rFonts w:ascii="Times New Roman" w:eastAsiaTheme="minorEastAsia" w:hAnsi="Times New Roman"/>
          <w:szCs w:val="20"/>
        </w:rPr>
        <w:t xml:space="preserve"> – величина, равная разнице между соответствующим номером Даты выплаты дополнительного дохода j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n принимается равной 1; </w:t>
      </w:r>
    </w:p>
    <w:p w14:paraId="1B581A3D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K(j)</w:t>
      </w:r>
      <w:r w:rsidRPr="00863E54">
        <w:rPr>
          <w:rFonts w:ascii="Times New Roman" w:eastAsiaTheme="minorEastAsia" w:hAnsi="Times New Roman"/>
          <w:szCs w:val="20"/>
        </w:rPr>
        <w:t xml:space="preserve"> – коэффициент, который принимает значение, равное 1, если для периода дополнительного дохода с порядковым номером (j) величина S</w:t>
      </w:r>
      <w:r w:rsidRPr="00863E54">
        <w:rPr>
          <w:rFonts w:ascii="Times New Roman" w:eastAsiaTheme="minorEastAsia" w:hAnsi="Times New Roman"/>
          <w:szCs w:val="20"/>
          <w:vertAlign w:val="subscript"/>
        </w:rPr>
        <w:t>i</w:t>
      </w:r>
      <w:r w:rsidRPr="00863E54">
        <w:rPr>
          <w:rFonts w:ascii="Times New Roman" w:eastAsiaTheme="minorEastAsia" w:hAnsi="Times New Roman"/>
          <w:szCs w:val="20"/>
        </w:rPr>
        <w:t>(j) / S</w:t>
      </w:r>
      <w:r w:rsidRPr="00863E54">
        <w:rPr>
          <w:rFonts w:ascii="Times New Roman" w:eastAsiaTheme="minorEastAsia" w:hAnsi="Times New Roman"/>
          <w:szCs w:val="20"/>
          <w:vertAlign w:val="subscript"/>
        </w:rPr>
        <w:t>i</w:t>
      </w:r>
      <w:r w:rsidRPr="00863E54">
        <w:rPr>
          <w:rFonts w:ascii="Times New Roman" w:eastAsiaTheme="minorEastAsia" w:hAnsi="Times New Roman"/>
          <w:szCs w:val="20"/>
        </w:rPr>
        <w:t>(0) больше или равна величине Барьер(j) для каждого Референсного актива (</w:t>
      </w:r>
      <w:r w:rsidRPr="00863E54">
        <w:rPr>
          <w:rFonts w:ascii="Times New Roman" w:eastAsiaTheme="minorEastAsia" w:hAnsi="Times New Roman"/>
          <w:szCs w:val="20"/>
          <w:lang w:val="en-US"/>
        </w:rPr>
        <w:t>i</w:t>
      </w:r>
      <w:r w:rsidRPr="00863E54">
        <w:rPr>
          <w:rFonts w:ascii="Times New Roman" w:eastAsiaTheme="minorEastAsia" w:hAnsi="Times New Roman"/>
          <w:szCs w:val="20"/>
        </w:rPr>
        <w:t>); и значение, равное 0, в любом ином случае;</w:t>
      </w:r>
    </w:p>
    <w:p w14:paraId="1DF35A6C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i</w:t>
      </w:r>
      <w:r w:rsidRPr="00863E54">
        <w:rPr>
          <w:rFonts w:ascii="Times New Roman" w:eastAsiaTheme="minorEastAsia" w:hAnsi="Times New Roman"/>
          <w:szCs w:val="20"/>
        </w:rPr>
        <w:t xml:space="preserve"> – порядковый номер Референсного актива (i = 1, 2, 3, 4);</w:t>
      </w:r>
    </w:p>
    <w:p w14:paraId="1BE0A6EC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S</w:t>
      </w:r>
      <w:r w:rsidRPr="00863E54">
        <w:rPr>
          <w:rFonts w:ascii="Times New Roman" w:eastAsiaTheme="minorEastAsia" w:hAnsi="Times New Roman"/>
          <w:b/>
          <w:bCs/>
          <w:i/>
          <w:szCs w:val="20"/>
          <w:vertAlign w:val="subscript"/>
        </w:rPr>
        <w:t>i</w:t>
      </w:r>
      <w:r w:rsidRPr="00863E54">
        <w:rPr>
          <w:rFonts w:ascii="Times New Roman" w:eastAsiaTheme="minorEastAsia" w:hAnsi="Times New Roman"/>
          <w:b/>
          <w:bCs/>
          <w:i/>
          <w:szCs w:val="20"/>
        </w:rPr>
        <w:t>(0)</w:t>
      </w:r>
      <w:r w:rsidRPr="00863E54">
        <w:rPr>
          <w:rFonts w:ascii="Times New Roman" w:eastAsiaTheme="minorEastAsia" w:hAnsi="Times New Roman"/>
          <w:szCs w:val="20"/>
        </w:rPr>
        <w:t xml:space="preserve"> – цена закрытия Референсного актива (i) в Дату начала размещения Биржевых облигаций на соответствующей бирже Референсного актива в валюте Референсного актива;</w:t>
      </w:r>
    </w:p>
    <w:p w14:paraId="14705C5E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S</w:t>
      </w:r>
      <w:r w:rsidRPr="00863E54">
        <w:rPr>
          <w:rFonts w:ascii="Times New Roman" w:eastAsiaTheme="minorEastAsia" w:hAnsi="Times New Roman"/>
          <w:b/>
          <w:bCs/>
          <w:i/>
          <w:szCs w:val="20"/>
          <w:vertAlign w:val="subscript"/>
        </w:rPr>
        <w:t>i</w:t>
      </w:r>
      <w:r w:rsidRPr="00863E54">
        <w:rPr>
          <w:rFonts w:ascii="Times New Roman" w:eastAsiaTheme="minorEastAsia" w:hAnsi="Times New Roman"/>
          <w:b/>
          <w:bCs/>
          <w:i/>
          <w:szCs w:val="20"/>
        </w:rPr>
        <w:t>(j)</w:t>
      </w:r>
      <w:r w:rsidRPr="00863E54">
        <w:rPr>
          <w:rFonts w:ascii="Times New Roman" w:eastAsiaTheme="minorEastAsia" w:hAnsi="Times New Roman"/>
          <w:szCs w:val="20"/>
        </w:rPr>
        <w:t xml:space="preserve"> – цена закрытия Референсного актива (i) в Дату определения дополнительного дохода (j) на соответствующей бирже Референсного актива в валюте Референсного актива. </w:t>
      </w:r>
    </w:p>
    <w:p w14:paraId="35943134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Барьер(j)</w:t>
      </w:r>
      <w:r w:rsidRPr="00863E54">
        <w:rPr>
          <w:rFonts w:ascii="Times New Roman" w:eastAsiaTheme="minorEastAsia" w:hAnsi="Times New Roman"/>
          <w:szCs w:val="20"/>
        </w:rPr>
        <w:t xml:space="preserve"> – величина барьера, которая принимает следующие значения для соответствующей Даты определения дополнительного дохода (j):</w:t>
      </w:r>
    </w:p>
    <w:p w14:paraId="1130746E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j = 1:</w:t>
      </w:r>
      <w:r w:rsidRPr="00863E54">
        <w:rPr>
          <w:rFonts w:ascii="Times New Roman" w:eastAsiaTheme="minorEastAsia" w:hAnsi="Times New Roman"/>
          <w:szCs w:val="20"/>
        </w:rPr>
        <w:t xml:space="preserve"> 95%</w:t>
      </w:r>
    </w:p>
    <w:p w14:paraId="0AEF5FF4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j = 2:</w:t>
      </w:r>
      <w:r w:rsidRPr="00863E54">
        <w:rPr>
          <w:rFonts w:ascii="Times New Roman" w:eastAsiaTheme="minorEastAsia" w:hAnsi="Times New Roman"/>
          <w:szCs w:val="20"/>
        </w:rPr>
        <w:t xml:space="preserve"> 95%</w:t>
      </w:r>
    </w:p>
    <w:p w14:paraId="1C40CBC4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j = 3:</w:t>
      </w:r>
      <w:r w:rsidRPr="00863E54">
        <w:rPr>
          <w:rFonts w:ascii="Times New Roman" w:eastAsiaTheme="minorEastAsia" w:hAnsi="Times New Roman"/>
          <w:szCs w:val="20"/>
        </w:rPr>
        <w:t xml:space="preserve"> 95%</w:t>
      </w:r>
    </w:p>
    <w:p w14:paraId="7CD5D38C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j = 4:</w:t>
      </w:r>
      <w:r w:rsidRPr="00863E54">
        <w:rPr>
          <w:rFonts w:ascii="Times New Roman" w:eastAsiaTheme="minorEastAsia" w:hAnsi="Times New Roman"/>
          <w:szCs w:val="20"/>
        </w:rPr>
        <w:t xml:space="preserve"> 95%</w:t>
      </w:r>
    </w:p>
    <w:p w14:paraId="3221AEA7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j = 5:</w:t>
      </w:r>
      <w:r w:rsidRPr="00863E54">
        <w:rPr>
          <w:rFonts w:ascii="Times New Roman" w:eastAsiaTheme="minorEastAsia" w:hAnsi="Times New Roman"/>
          <w:szCs w:val="20"/>
        </w:rPr>
        <w:t xml:space="preserve"> 95%</w:t>
      </w:r>
    </w:p>
    <w:p w14:paraId="5135FBD5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j = 6:</w:t>
      </w:r>
      <w:r w:rsidRPr="00863E54">
        <w:rPr>
          <w:rFonts w:ascii="Times New Roman" w:eastAsiaTheme="minorEastAsia" w:hAnsi="Times New Roman"/>
          <w:szCs w:val="20"/>
        </w:rPr>
        <w:t xml:space="preserve"> 95%</w:t>
      </w:r>
    </w:p>
    <w:p w14:paraId="1F0AF8F1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Торговый день</w:t>
      </w:r>
      <w:r w:rsidRPr="00863E54">
        <w:rPr>
          <w:rFonts w:ascii="Times New Roman" w:eastAsiaTheme="minorEastAsia" w:hAnsi="Times New Roman"/>
          <w:szCs w:val="20"/>
        </w:rPr>
        <w:t xml:space="preserve"> – каждый день, в который осуществляются торги всеми Референсными активами.</w:t>
      </w:r>
    </w:p>
    <w:p w14:paraId="02FCF1DF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i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 xml:space="preserve">Дата определения дополнительного дохода - </w:t>
      </w:r>
      <w:r w:rsidRPr="00863E54">
        <w:rPr>
          <w:rFonts w:ascii="Times New Roman" w:eastAsiaTheme="minorEastAsia" w:hAnsi="Times New Roman"/>
          <w:szCs w:val="20"/>
        </w:rPr>
        <w:t>для периодов дополнительного дохода с порядковыми номерами от 1 до 5 включительно Датой определения дополнительного дохода является 2 (второй) Торговый День, предшествующий Дате выплаты дополнительного дохода. 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</w:t>
      </w:r>
      <w:r w:rsidRPr="00863E54">
        <w:rPr>
          <w:rFonts w:ascii="Times New Roman" w:eastAsiaTheme="minorEastAsia" w:hAnsi="Times New Roman"/>
          <w:szCs w:val="20"/>
        </w:rPr>
        <w:br/>
      </w:r>
      <w:r w:rsidRPr="00863E54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3CD7B3F4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i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 xml:space="preserve">Референсные активы: </w:t>
      </w:r>
    </w:p>
    <w:p w14:paraId="3A1F7D79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i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i = 1</w:t>
      </w:r>
    </w:p>
    <w:p w14:paraId="651D4FAA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>Наименование: Qualcomm Inc</w:t>
      </w:r>
    </w:p>
    <w:p w14:paraId="30861C41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>ISIN: US7475251036</w:t>
      </w:r>
    </w:p>
    <w:p w14:paraId="23F6A7E1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>Биржа Референсного актива: Служба автоматизированных котировок Национальной ассоциации дилеров по ценным бумагам (NASDAQ)</w:t>
      </w:r>
    </w:p>
    <w:p w14:paraId="48933A67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>Источник цены (ссылка): https://www.nasdaq.com/market-activity/stocks/qcom/historical</w:t>
      </w:r>
    </w:p>
    <w:p w14:paraId="53346F30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1D9A6240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i/>
          <w:szCs w:val="20"/>
          <w:lang w:val="en-US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  <w:lang w:val="en-US"/>
        </w:rPr>
        <w:t>i = 2</w:t>
      </w:r>
    </w:p>
    <w:p w14:paraId="46B7F49C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63E54">
        <w:rPr>
          <w:rFonts w:ascii="Times New Roman" w:eastAsiaTheme="minorEastAsia" w:hAnsi="Times New Roman"/>
          <w:szCs w:val="20"/>
        </w:rPr>
        <w:t>Наименование</w:t>
      </w:r>
      <w:r w:rsidRPr="00863E54">
        <w:rPr>
          <w:rFonts w:ascii="Times New Roman" w:eastAsiaTheme="minorEastAsia" w:hAnsi="Times New Roman"/>
          <w:szCs w:val="20"/>
          <w:lang w:val="en-US"/>
        </w:rPr>
        <w:t>: Verizon Communications Inc</w:t>
      </w:r>
    </w:p>
    <w:p w14:paraId="1A2FE9D4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63E54">
        <w:rPr>
          <w:rFonts w:ascii="Times New Roman" w:eastAsiaTheme="minorEastAsia" w:hAnsi="Times New Roman"/>
          <w:szCs w:val="20"/>
          <w:lang w:val="en-US"/>
        </w:rPr>
        <w:t>ISIN: US92343V1044</w:t>
      </w:r>
    </w:p>
    <w:p w14:paraId="3B2A25BC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>Биржа Референсного актива: Служба автоматизированных котировок Национальной ассоциации дилеров по ценным бумагам (NASDAQ)</w:t>
      </w:r>
    </w:p>
    <w:p w14:paraId="5AF66E38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>Источник цены (ссылка): https://www.nasdaq.com/market-activity/stocks/vz/historical</w:t>
      </w:r>
    </w:p>
    <w:p w14:paraId="3AEF3AC7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06AEB55F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b/>
          <w:i/>
          <w:szCs w:val="20"/>
          <w:lang w:val="en-US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  <w:lang w:val="en-US"/>
        </w:rPr>
        <w:t>i = 3</w:t>
      </w:r>
    </w:p>
    <w:p w14:paraId="77709F27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63E54">
        <w:rPr>
          <w:rFonts w:ascii="Times New Roman" w:eastAsiaTheme="minorEastAsia" w:hAnsi="Times New Roman"/>
          <w:szCs w:val="20"/>
        </w:rPr>
        <w:t>Наименование</w:t>
      </w:r>
      <w:r w:rsidRPr="00863E54">
        <w:rPr>
          <w:rFonts w:ascii="Times New Roman" w:eastAsiaTheme="minorEastAsia" w:hAnsi="Times New Roman"/>
          <w:szCs w:val="20"/>
          <w:lang w:val="en-US"/>
        </w:rPr>
        <w:t>: Nokia Oyj NY</w:t>
      </w:r>
    </w:p>
    <w:p w14:paraId="36968A5D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63E54">
        <w:rPr>
          <w:rFonts w:ascii="Times New Roman" w:eastAsiaTheme="minorEastAsia" w:hAnsi="Times New Roman"/>
          <w:szCs w:val="20"/>
          <w:lang w:val="en-US"/>
        </w:rPr>
        <w:t>ISIN: US6549022043</w:t>
      </w:r>
    </w:p>
    <w:p w14:paraId="4846DA8A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>Биржа Референсного актива: Служба автоматизированных котировок Национальной ассоциации дилеров по ценным бумагам (NASDAQ)</w:t>
      </w:r>
    </w:p>
    <w:p w14:paraId="613AC848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>Источник цены (ссылка): https://www.nasdaq.com/market-activity/stocks/nok/historical</w:t>
      </w:r>
    </w:p>
    <w:p w14:paraId="27225E6E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6C8D677E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i/>
          <w:szCs w:val="20"/>
          <w:lang w:val="en-US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  <w:lang w:val="en-US"/>
        </w:rPr>
        <w:t>i = 4</w:t>
      </w:r>
    </w:p>
    <w:p w14:paraId="07C83C32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63E54">
        <w:rPr>
          <w:rFonts w:ascii="Times New Roman" w:eastAsiaTheme="minorEastAsia" w:hAnsi="Times New Roman"/>
          <w:szCs w:val="20"/>
        </w:rPr>
        <w:t>Наименование</w:t>
      </w:r>
      <w:r w:rsidRPr="00863E54">
        <w:rPr>
          <w:rFonts w:ascii="Times New Roman" w:eastAsiaTheme="minorEastAsia" w:hAnsi="Times New Roman"/>
          <w:szCs w:val="20"/>
          <w:lang w:val="en-US"/>
        </w:rPr>
        <w:t>: American Tower Corp</w:t>
      </w:r>
    </w:p>
    <w:p w14:paraId="27BA018A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  <w:lang w:val="en-US"/>
        </w:rPr>
      </w:pPr>
      <w:r w:rsidRPr="00863E54">
        <w:rPr>
          <w:rFonts w:ascii="Times New Roman" w:eastAsiaTheme="minorEastAsia" w:hAnsi="Times New Roman"/>
          <w:szCs w:val="20"/>
          <w:lang w:val="en-US"/>
        </w:rPr>
        <w:t>ISIN: US03027X1000</w:t>
      </w:r>
    </w:p>
    <w:p w14:paraId="25D9C787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>Биржа Референсного актива: Служба автоматизированных котировок Национальной ассоциации дилеров по ценным бумагам (NASDAQ)</w:t>
      </w:r>
    </w:p>
    <w:p w14:paraId="2EC848F5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>Источник цены (ссылка): https://www.nasdaq.com/market-activity/stocks/amt/historical</w:t>
      </w:r>
    </w:p>
    <w:p w14:paraId="54A39A59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23651CC7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i/>
          <w:szCs w:val="20"/>
        </w:rPr>
      </w:pPr>
      <w:r w:rsidRPr="00863E54">
        <w:rPr>
          <w:rFonts w:ascii="Times New Roman" w:eastAsiaTheme="minorEastAsia" w:hAnsi="Times New Roman"/>
          <w:b/>
          <w:bCs/>
          <w:i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90DCCF7" w14:textId="77777777" w:rsidR="00863E54" w:rsidRPr="00863E54" w:rsidRDefault="00863E54" w:rsidP="00863E54">
      <w:pPr>
        <w:spacing w:before="120" w:after="0" w:line="240" w:lineRule="auto"/>
        <w:ind w:left="708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217D154C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56A6B7EF" w14:textId="77777777" w:rsidR="00863E54" w:rsidRPr="00863E54" w:rsidRDefault="00863E54" w:rsidP="00863E54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863E54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54EB35EC" w:rsidR="00F528F2" w:rsidRPr="00863E54" w:rsidRDefault="00863E54" w:rsidP="00863E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8"/>
        </w:rPr>
      </w:pPr>
      <w:r w:rsidRPr="00863E54">
        <w:rPr>
          <w:rFonts w:ascii="Times New Roman" w:eastAsia="Times New Roman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863E54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9DD3E" w14:textId="77777777" w:rsidR="00710D4C" w:rsidRDefault="00710D4C" w:rsidP="0053664B">
      <w:pPr>
        <w:spacing w:after="0" w:line="240" w:lineRule="auto"/>
      </w:pPr>
      <w:r>
        <w:separator/>
      </w:r>
    </w:p>
  </w:endnote>
  <w:endnote w:type="continuationSeparator" w:id="0">
    <w:p w14:paraId="3B92C734" w14:textId="77777777" w:rsidR="00710D4C" w:rsidRDefault="00710D4C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AB1DC24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D305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29DA6" w14:textId="77777777" w:rsidR="00710D4C" w:rsidRDefault="00710D4C" w:rsidP="0053664B">
      <w:pPr>
        <w:spacing w:after="0" w:line="240" w:lineRule="auto"/>
      </w:pPr>
      <w:r>
        <w:separator/>
      </w:r>
    </w:p>
  </w:footnote>
  <w:footnote w:type="continuationSeparator" w:id="0">
    <w:p w14:paraId="369F1937" w14:textId="77777777" w:rsidR="00710D4C" w:rsidRDefault="00710D4C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444F"/>
    <w:rsid w:val="004C5F91"/>
    <w:rsid w:val="004C64C0"/>
    <w:rsid w:val="004D021A"/>
    <w:rsid w:val="004D3058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0D4C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9FB85D5-7FAE-465F-8F6E-F47D4139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D4AD4-422C-47DB-AEA9-D6E531E0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5117</Words>
  <Characters>29169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2021-10-21T15:59:00Z</dcterms:created>
  <dcterms:modified xsi:type="dcterms:W3CDTF">2021-10-21T15:59:00Z</dcterms:modified>
</cp:coreProperties>
</file>